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C88" w:rsidRDefault="00661C88" w:rsidP="00661C88">
      <w:pPr>
        <w:pStyle w:val="ConsPlusTitle"/>
        <w:ind w:firstLine="540"/>
        <w:jc w:val="both"/>
        <w:outlineLvl w:val="3"/>
      </w:pPr>
      <w:r>
        <w:t>Срок исковой давности при перемене лиц в обязательстве</w:t>
      </w:r>
    </w:p>
    <w:p w:rsidR="00661C88" w:rsidRDefault="00661C88" w:rsidP="00661C88">
      <w:pPr>
        <w:pStyle w:val="ConsPlusNormal"/>
        <w:jc w:val="both"/>
      </w:pPr>
    </w:p>
    <w:p w:rsidR="00661C88" w:rsidRDefault="00661C88" w:rsidP="00661C88">
      <w:pPr>
        <w:pStyle w:val="ConsPlusNormal"/>
        <w:ind w:firstLine="540"/>
        <w:jc w:val="both"/>
      </w:pPr>
      <w:r>
        <w:t>Перемена лиц в обязательстве не влечет изменения срока исковой давности и порядка его исчисления.</w:t>
      </w:r>
    </w:p>
    <w:p w:rsidR="00661C88" w:rsidRPr="00A076D5" w:rsidRDefault="00661C88" w:rsidP="00661C88">
      <w:pPr>
        <w:pStyle w:val="ConsPlusNormal"/>
        <w:ind w:firstLine="540"/>
        <w:jc w:val="both"/>
        <w:rPr>
          <w:i/>
        </w:rPr>
      </w:pPr>
      <w:r w:rsidRPr="00A076D5">
        <w:rPr>
          <w:i/>
        </w:rPr>
        <w:t>Источник: ст. 201 Гражданского кодекса РФ (ред. от 18.07.2019).</w:t>
      </w:r>
    </w:p>
    <w:p w:rsidR="000A4AED" w:rsidRDefault="000A4AED"/>
    <w:sectPr w:rsidR="000A4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C88"/>
    <w:rsid w:val="000A4AED"/>
    <w:rsid w:val="00661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1C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661C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2</cp:revision>
  <dcterms:created xsi:type="dcterms:W3CDTF">2019-08-11T08:55:00Z</dcterms:created>
  <dcterms:modified xsi:type="dcterms:W3CDTF">2019-08-11T08:56:00Z</dcterms:modified>
</cp:coreProperties>
</file>