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6C" w:rsidRDefault="00852E6C" w:rsidP="00852E6C">
      <w:pPr>
        <w:pStyle w:val="ConsPlusTitle"/>
        <w:ind w:firstLine="540"/>
        <w:jc w:val="both"/>
        <w:outlineLvl w:val="0"/>
      </w:pPr>
      <w:r>
        <w:t>Возникновение права собственности на вновь создаваемое недвижимое имущество</w:t>
      </w:r>
    </w:p>
    <w:p w:rsidR="00852E6C" w:rsidRDefault="00852E6C" w:rsidP="00852E6C">
      <w:pPr>
        <w:pStyle w:val="ConsPlusNormal"/>
        <w:jc w:val="both"/>
      </w:pPr>
    </w:p>
    <w:p w:rsidR="00852E6C" w:rsidRDefault="00852E6C" w:rsidP="00852E6C">
      <w:pPr>
        <w:pStyle w:val="ConsPlusNormal"/>
        <w:ind w:firstLine="540"/>
        <w:jc w:val="both"/>
      </w:pPr>
      <w:r>
        <w:t xml:space="preserve">Право собственности на здания, сооружения и другое вновь создаваемое недвижимое имущество, подлежащее государственной регистрации, возникает с момента такой </w:t>
      </w:r>
      <w:hyperlink r:id="rId4" w:history="1">
        <w:r>
          <w:rPr>
            <w:color w:val="0000FF"/>
          </w:rPr>
          <w:t>регистрации</w:t>
        </w:r>
      </w:hyperlink>
      <w:r>
        <w:t>.</w:t>
      </w:r>
    </w:p>
    <w:p w:rsidR="00852E6C" w:rsidRDefault="00852E6C" w:rsidP="00852E6C">
      <w:pPr>
        <w:pStyle w:val="ConsPlusNormal"/>
        <w:ind w:firstLine="540"/>
        <w:jc w:val="both"/>
      </w:pPr>
      <w:r w:rsidRPr="00523965">
        <w:rPr>
          <w:i/>
        </w:rPr>
        <w:t>Источник: ст. 2</w:t>
      </w:r>
      <w:r>
        <w:rPr>
          <w:i/>
        </w:rPr>
        <w:t>19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1E2E5A" w:rsidRDefault="001E2E5A"/>
    <w:sectPr w:rsidR="001E2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2E6C"/>
    <w:rsid w:val="001E2E5A"/>
    <w:rsid w:val="0085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52E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53D41C753ED986B9D018B5F9AFAF44EF103AD6E7B89CEDC085242562AB03BC94941647877DF961A9270DC1DD05F38F67FA8E7137AE87260IF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2019-08-11T09:01:00Z</dcterms:created>
  <dcterms:modified xsi:type="dcterms:W3CDTF">2019-08-11T09:01:00Z</dcterms:modified>
</cp:coreProperties>
</file>